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D5" w:rsidRDefault="00D377D5" w:rsidP="00D37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2687F" w:rsidRDefault="0022687F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22687F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31.25pt;width:49.15pt;height:60.75pt;z-index:251664384;mso-position-horizontal-relative:text;mso-position-vertical-relative:text">
            <v:imagedata r:id="rId6" o:title=""/>
          </v:shape>
          <o:OLEObject Type="Embed" ProgID="MSPhotoEd.3" ShapeID="_x0000_s1026" DrawAspect="Content" ObjectID="_1480169323" r:id="rId7"/>
        </w:pict>
      </w: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</w:pPr>
    </w:p>
    <w:p w:rsidR="0022687F" w:rsidRP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</w:pPr>
      <w:bookmarkStart w:id="0" w:name="_GoBack"/>
      <w:bookmarkEnd w:id="0"/>
      <w:r w:rsidRPr="0022687F"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  <w:t>ПРИКАЗ</w:t>
      </w:r>
    </w:p>
    <w:p w:rsidR="0022687F" w:rsidRP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28"/>
          <w:szCs w:val="32"/>
          <w:lang w:eastAsia="ru-RU"/>
        </w:rPr>
      </w:pPr>
      <w:r w:rsidRPr="0022687F">
        <w:rPr>
          <w:rFonts w:ascii="Times New Roman" w:eastAsia="Times New Roman" w:hAnsi="Times New Roman"/>
          <w:b/>
          <w:caps/>
          <w:color w:val="002060"/>
          <w:sz w:val="28"/>
          <w:szCs w:val="32"/>
          <w:lang w:eastAsia="ru-RU"/>
        </w:rPr>
        <w:t>Комитета финансов</w:t>
      </w:r>
    </w:p>
    <w:p w:rsidR="00D377D5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22687F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Администрации города Когалыма </w:t>
      </w: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D377D5" w:rsidP="00D377D5">
      <w:pPr>
        <w:spacing w:after="0" w:line="240" w:lineRule="auto"/>
        <w:ind w:right="-18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От «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15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» 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дека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бря  2014 г.                                                                              №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92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-О </w:t>
      </w:r>
      <w:r w:rsidRPr="00D377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377D5" w:rsidRPr="00D377D5" w:rsidRDefault="00D377D5" w:rsidP="00D377D5">
      <w:pPr>
        <w:spacing w:after="0" w:line="240" w:lineRule="auto"/>
        <w:ind w:right="-18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>Об утверждении методики оценки</w:t>
      </w:r>
      <w:r w:rsidR="001539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эффективности и результативности 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>выполнения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муниципальных</w:t>
      </w: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заданий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оказание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услуг</w:t>
      </w:r>
    </w:p>
    <w:p w:rsidR="001539D5" w:rsidRPr="00D377D5" w:rsidRDefault="001539D5" w:rsidP="005D0AB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(выполнение работ</w:t>
      </w:r>
      <w:r w:rsidR="00A66AC2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</w:p>
    <w:p w:rsidR="001539D5" w:rsidRDefault="00D377D5" w:rsidP="001539D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статьей 69.2 Бюджетного Кодекса Российской Федерации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0F3FB6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11.08.2011 №2038 «О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порядке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формирования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финансового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выполнения муниципального задания в отношении муниципальных бюджетных и автономных учреждений города Когалыма»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целях повышения эффективности использования средств бюджета город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а Когалыма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, качества их управления и результативности выполнения муниципального задания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</w:p>
    <w:p w:rsidR="00D377D5" w:rsidRDefault="00D377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iCs/>
          <w:color w:val="000000"/>
          <w:spacing w:val="20"/>
          <w:sz w:val="26"/>
          <w:szCs w:val="26"/>
          <w:lang w:eastAsia="ru-RU"/>
        </w:rPr>
        <w:t xml:space="preserve">ПРИКАЗЫВАЮ: </w:t>
      </w:r>
    </w:p>
    <w:p w:rsidR="00D377D5" w:rsidRPr="00D377D5" w:rsidRDefault="00D377D5" w:rsidP="00F4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етодику оценки эффективности и результативности выполнения 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</w:t>
      </w:r>
      <w:r w:rsidR="00F460B6" w:rsidRPr="00F460B6">
        <w:rPr>
          <w:rFonts w:ascii="Times New Roman" w:eastAsia="Times New Roman" w:hAnsi="Times New Roman"/>
          <w:sz w:val="26"/>
          <w:szCs w:val="26"/>
          <w:lang w:eastAsia="ru-RU"/>
        </w:rPr>
        <w:t>(выполнение работ)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39D5" w:rsidRPr="001539D5" w:rsidRDefault="00D377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выполнением настоящего приказа возложить на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председателя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Комитета финансов Администрации города Когалыма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Л.В.Скорикову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.   </w:t>
      </w:r>
    </w:p>
    <w:p w:rsidR="001539D5" w:rsidRPr="001539D5" w:rsidRDefault="001539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P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Председатель Комитета финансов                                               </w:t>
      </w: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                                                             М.Г.Рыбачок</w:t>
      </w: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Pr="001539D5" w:rsidRDefault="001539D5" w:rsidP="001539D5">
      <w:pPr>
        <w:spacing w:before="240" w:after="60" w:line="240" w:lineRule="auto"/>
        <w:jc w:val="right"/>
        <w:outlineLvl w:val="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1539D5" w:rsidRPr="001539D5" w:rsidRDefault="001539D5" w:rsidP="001539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 приказу Комитета финансов</w:t>
      </w:r>
    </w:p>
    <w:p w:rsidR="001539D5" w:rsidRPr="00D377D5" w:rsidRDefault="001539D5" w:rsidP="00F460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от 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15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.1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.2014 №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92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-О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692"/>
      </w:tblGrid>
      <w:tr w:rsidR="00D377D5" w:rsidRPr="00D377D5" w:rsidTr="001539D5">
        <w:trPr>
          <w:tblCellSpacing w:w="7" w:type="dxa"/>
        </w:trPr>
        <w:tc>
          <w:tcPr>
            <w:tcW w:w="2500" w:type="pct"/>
            <w:vAlign w:val="center"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0" w:type="pct"/>
            <w:vAlign w:val="bottom"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460B6" w:rsidRPr="00E427DD" w:rsidRDefault="00D377D5" w:rsidP="00F46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Методика </w:t>
      </w:r>
    </w:p>
    <w:p w:rsidR="00F460B6" w:rsidRPr="00E427DD" w:rsidRDefault="00D377D5" w:rsidP="00F460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оценки эффективности и результативности выполнения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муниципальных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заданий на оказание </w:t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муниципальных 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услуг</w:t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460B6" w:rsidRPr="00E427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(выполнение работ) </w:t>
      </w:r>
    </w:p>
    <w:p w:rsidR="00D377D5" w:rsidRPr="00E427DD" w:rsidRDefault="00D377D5" w:rsidP="00F4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Общее положение</w:t>
      </w:r>
    </w:p>
    <w:p w:rsidR="005D0AB2" w:rsidRDefault="00D377D5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 Методика оценки эффективности и результативности выполнения </w:t>
      </w:r>
      <w:r w:rsidR="00F460B6" w:rsidRP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заданий на оказание муниципальных услуг (выполнение работ)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Методика) применяется в рамках оценки выполнения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ок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>азываемых муниципальными бюджетными и</w:t>
      </w:r>
      <w:r w:rsidR="005D0AB2" w:rsidRP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автономными учреждениями 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1.1. Оценка эффективности и результативности выполнения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(выполнение работ)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труктурны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ми 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ми 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Когалыма, осуществляющи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 координацию деятельности муниципальных учреждений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структурные подразделения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11BC0" w:rsidRPr="00D377D5" w:rsidRDefault="00D377D5" w:rsidP="00D11B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proofErr w:type="gramStart"/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E427DD" w:rsidRPr="00E427DD">
        <w:rPr>
          <w:rFonts w:ascii="Times New Roman" w:eastAsia="Times New Roman" w:hAnsi="Times New Roman"/>
          <w:sz w:val="26"/>
          <w:szCs w:val="26"/>
          <w:lang w:eastAsia="ru-RU"/>
        </w:rPr>
        <w:t>труктурные подразделения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 до 20 февраля года, следующего за отчётным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предоставляют 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D11BC0" w:rsidRP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 финансов Администрации города Когалыма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финансов)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результаты оценки эффективности и результативности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форме согласно приложению к настоящей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етодике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расшифровку результатов 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оценки эффективности и результативности выполнения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в форме пояснительной записки, содержащей расчеты</w:t>
      </w:r>
      <w:proofErr w:type="gramEnd"/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результатов оценки по каждому из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учреждений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разрезе этапов оценки.</w:t>
      </w:r>
    </w:p>
    <w:p w:rsidR="00E427DD" w:rsidRPr="00D377D5" w:rsidRDefault="00E427DD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27DD" w:rsidRDefault="00D377D5" w:rsidP="00E42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  Методика оценки эффективности и результативности выполнения</w:t>
      </w:r>
      <w:r w:rsidRPr="005D0AB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427DD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муниципальных заданий на оказание муниципальных услуг</w:t>
      </w:r>
    </w:p>
    <w:p w:rsidR="00E427DD" w:rsidRDefault="00E427DD" w:rsidP="00E42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(выполнение работ)</w:t>
      </w:r>
    </w:p>
    <w:p w:rsidR="00D464C9" w:rsidRPr="005D0AB2" w:rsidRDefault="00D464C9" w:rsidP="00E427D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2. Расчет оценки эффективности и результативности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проводится в пять этапов, раздельно по каждому из критериев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 этап – расчет К1 – оценка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 этап – расчет К2 – оценка выполнения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 – расчет К3 – </w:t>
      </w:r>
      <w:r w:rsidR="00C165C7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качество оказания государственных услуг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Default="00C165C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 этап – расчет 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 –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итоговой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B063F4" w:rsidRPr="00D377D5" w:rsidRDefault="00B063F4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65C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2.1. Этап 1.</w:t>
      </w:r>
    </w:p>
    <w:p w:rsidR="00D10E47" w:rsidRPr="00D10E47" w:rsidRDefault="00D10E47" w:rsidP="00D10E4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377D5" w:rsidRPr="00D377D5" w:rsidRDefault="00C165C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К1-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 по критерию «полнота и эффективность использования средств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на выполнение муниципального задания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оказание муниципальных услуг» 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по следующей формуле:</w:t>
      </w:r>
    </w:p>
    <w:p w:rsidR="00D377D5" w:rsidRPr="00C165C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К1 = (К1.1+К1.2) / 2,          (1)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К1.1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кассового исполнения бюджета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 (далее – бюджета города)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К1.2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фактических расходов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10E47" w:rsidRPr="00D377D5" w:rsidRDefault="00D10E4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К1.1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с учетом кассового исполнения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следующим образом: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К1.1 = К1кассовое / К1пл * 100%,         (2)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К1кассовое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кассово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К1пл – плановый объем средств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К1.2 – оценка выполнения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фактических расходов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следующим образом: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К1.2 = К1ф(расч.) / К1пл. *100%,          (3)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К1ф(расч.) – расчетный фактический объем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К1пл – плановый объем средств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фактический объем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бюджета города на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определяется по следующей формуле: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К1ф(расч.) = К1ф + </w:t>
      </w:r>
      <w:r w:rsidRPr="00D10E4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u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,          (4)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 – фактические расходы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– сумма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положительной экономии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Полнота и эффективность использования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фактического освоения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 учетом положительных факторов.</w:t>
      </w:r>
    </w:p>
    <w:p w:rsidR="00D377D5" w:rsidRP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 положительным факторам (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–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положительная экономия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) неполного освоения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может относиться: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проведенных конкурсных процедур;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энергии, воды и канализирования сточных вод;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,  сложившаяся по итогам мероприятий, связанных с оптимизацией расходов.</w:t>
      </w:r>
    </w:p>
    <w:p w:rsid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1:</w:t>
      </w:r>
    </w:p>
    <w:p w:rsidR="00B063F4" w:rsidRPr="00D377D5" w:rsidRDefault="00B063F4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1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2"/>
        <w:gridCol w:w="4979"/>
      </w:tblGrid>
      <w:tr w:rsidR="00D377D5" w:rsidRPr="004C39EA" w:rsidTr="00202C59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К1&gt;100%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 с экономией средств</w:t>
            </w:r>
          </w:p>
        </w:tc>
      </w:tr>
      <w:tr w:rsidR="00D377D5" w:rsidRPr="00D377D5" w:rsidTr="00202C59">
        <w:trPr>
          <w:cantSplit/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К1≤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D10E47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2.2. Этап 2.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К2 – оценка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критерию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p w:rsidR="00D377D5" w:rsidRPr="004C39EA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К2 = К2ф/К2пл * 100%,         (5)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К2ф – фактическое 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К2пл – плановое 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2:</w:t>
      </w:r>
    </w:p>
    <w:p w:rsidR="00D377D5" w:rsidRP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 w:rsidR="00B063F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2</w:t>
      </w:r>
    </w:p>
    <w:tbl>
      <w:tblPr>
        <w:tblW w:w="3500" w:type="pct"/>
        <w:jc w:val="center"/>
        <w:tblCellSpacing w:w="7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9"/>
        <w:gridCol w:w="4892"/>
      </w:tblGrid>
      <w:tr w:rsidR="00D377D5" w:rsidRPr="004C39EA" w:rsidTr="00202C5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Значение 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К2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К2≤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К2&lt;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B063F4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63F4">
        <w:rPr>
          <w:rFonts w:ascii="Times New Roman" w:eastAsia="Times New Roman" w:hAnsi="Times New Roman"/>
          <w:b/>
          <w:sz w:val="26"/>
          <w:szCs w:val="26"/>
          <w:lang w:eastAsia="ru-RU"/>
        </w:rPr>
        <w:t>2.3. Этап 3.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К3 – оценка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критерию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«качество оказания 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D377D5" w:rsidRPr="00D377D5" w:rsidTr="00202C59">
        <w:trPr>
          <w:tblCellSpacing w:w="7" w:type="dxa"/>
        </w:trPr>
        <w:tc>
          <w:tcPr>
            <w:tcW w:w="2500" w:type="pct"/>
            <w:vAlign w:val="center"/>
            <w:hideMark/>
          </w:tcPr>
          <w:p w:rsidR="00D377D5" w:rsidRPr="004C39EA" w:rsidRDefault="00D377D5" w:rsidP="004C3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CC083C2" wp14:editId="708B6FF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381125" cy="638175"/>
                  <wp:effectExtent l="0" t="0" r="9525" b="9525"/>
                  <wp:wrapSquare wrapText="bothSides"/>
                  <wp:docPr id="3" name="Рисунок 3" descr="Описание: http://www2.admhmao.ru/economic/finans/zacon/2010/7-np/for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www2.admhmao.ru/economic/finans/zacon/2010/7-np/form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  <w:hideMark/>
          </w:tcPr>
          <w:p w:rsidR="00D377D5" w:rsidRPr="004C39EA" w:rsidRDefault="00D377D5" w:rsidP="004C3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   </w:t>
            </w: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 (6)</w:t>
            </w:r>
          </w:p>
        </w:tc>
      </w:tr>
    </w:tbl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каждому из показателей качества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- число показателей, указанных в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услуги.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Расчет К3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качества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</w:t>
      </w:r>
    </w:p>
    <w:p w:rsidR="00D377D5" w:rsidRPr="004C39EA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К3ф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К3пл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100%,          (7)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К3ф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фактическое значение показателя, характеризующего 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К3пл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плановое значение показателя характеризующего 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критерию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3:</w:t>
      </w:r>
    </w:p>
    <w:p w:rsidR="004C39EA" w:rsidRPr="00D377D5" w:rsidRDefault="004C39EA" w:rsidP="004C3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3</w:t>
      </w:r>
    </w:p>
    <w:tbl>
      <w:tblPr>
        <w:tblW w:w="3500" w:type="pct"/>
        <w:jc w:val="center"/>
        <w:tblCellSpacing w:w="7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9"/>
        <w:gridCol w:w="4892"/>
      </w:tblGrid>
      <w:tr w:rsidR="00D377D5" w:rsidRPr="00D377D5" w:rsidTr="00202C5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К3≤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4C39EA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/>
          <w:sz w:val="26"/>
          <w:szCs w:val="26"/>
          <w:lang w:eastAsia="ru-RU"/>
        </w:rPr>
        <w:t>2.4.  Этап 4.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Расчет К4 – оценка выполнения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 xml:space="preserve">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объемы оказания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(показатели непосредственного результата)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706"/>
        <w:gridCol w:w="4707"/>
      </w:tblGrid>
      <w:tr w:rsidR="00D464C9" w:rsidRPr="00D464C9" w:rsidTr="00D464C9">
        <w:trPr>
          <w:tblCellSpacing w:w="7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4C9" w:rsidRPr="00D464C9" w:rsidRDefault="00D464C9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11DE103D" wp14:editId="0F21AE62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85900" cy="666750"/>
                  <wp:effectExtent l="0" t="0" r="0" b="0"/>
                  <wp:wrapSquare wrapText="bothSides"/>
                  <wp:docPr id="4" name="Рисунок 4" descr="Описание: http://www2.admhmao.ru/economic/finans/zacon/2010/7-np/for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www2.admhmao.ru/economic/finans/zacon/2010/7-np/for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4C9" w:rsidRPr="00D464C9" w:rsidRDefault="00D464C9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  (8)</w:t>
            </w:r>
          </w:p>
        </w:tc>
      </w:tr>
    </w:tbl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каждому из показателей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E1F94" w:rsidRP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оказываемых муниципальных услуг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- число показателей,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оказываемых муниципальных услуг,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услуги.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К4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 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К4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К4ф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К4пл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100%,         (9)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К4ф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фактическое значение показателя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К4пл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плановое значение показателя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AB5E5C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4:</w:t>
      </w:r>
    </w:p>
    <w:p w:rsidR="00AB5E5C" w:rsidRPr="00D464C9" w:rsidRDefault="00AB5E5C" w:rsidP="00AB5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4</w:t>
      </w:r>
    </w:p>
    <w:tbl>
      <w:tblPr>
        <w:tblW w:w="3500" w:type="pct"/>
        <w:jc w:val="center"/>
        <w:tblCellSpacing w:w="7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4"/>
        <w:gridCol w:w="4907"/>
      </w:tblGrid>
      <w:tr w:rsidR="00D464C9" w:rsidRPr="00D464C9" w:rsidTr="00D464C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464C9" w:rsidRPr="00D464C9" w:rsidTr="00D464C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К4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перевыполнено</w:t>
            </w:r>
          </w:p>
        </w:tc>
      </w:tr>
      <w:tr w:rsidR="00D464C9" w:rsidRPr="00D464C9" w:rsidTr="00D464C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К4≤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выполнено в полном объеме</w:t>
            </w:r>
          </w:p>
        </w:tc>
      </w:tr>
      <w:tr w:rsidR="00D464C9" w:rsidRPr="00D464C9" w:rsidTr="00D464C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К4&lt;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не выполнено</w:t>
            </w:r>
          </w:p>
        </w:tc>
      </w:tr>
    </w:tbl>
    <w:p w:rsidR="00D464C9" w:rsidRDefault="00AB5E5C" w:rsidP="00AB5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E5C">
        <w:rPr>
          <w:rFonts w:ascii="Times New Roman" w:eastAsia="Times New Roman" w:hAnsi="Times New Roman"/>
          <w:b/>
          <w:sz w:val="26"/>
          <w:szCs w:val="26"/>
          <w:lang w:eastAsia="ru-RU"/>
        </w:rPr>
        <w:t>2.5. Этап 5.</w:t>
      </w:r>
    </w:p>
    <w:p w:rsidR="00D377D5" w:rsidRPr="00D377D5" w:rsidRDefault="00AB5E5C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тоговая оценка эффективности и результативности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по критериям, указанным выше, для каждой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 определяется по следующим формулам: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D377D5" w:rsidRPr="00D377D5" w:rsidTr="00202C59">
        <w:trPr>
          <w:tblCellSpacing w:w="7" w:type="dxa"/>
        </w:trPr>
        <w:tc>
          <w:tcPr>
            <w:tcW w:w="2500" w:type="pct"/>
            <w:vAlign w:val="center"/>
            <w:hideMark/>
          </w:tcPr>
          <w:p w:rsidR="00D377D5" w:rsidRPr="008E1F94" w:rsidRDefault="00D377D5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3F29209B" wp14:editId="27D4BFE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28775" cy="657225"/>
                  <wp:effectExtent l="0" t="0" r="9525" b="9525"/>
                  <wp:wrapSquare wrapText="bothSides"/>
                  <wp:docPr id="1" name="Рисунок 1" descr="Описание: http://www2.admhmao.ru/economic/finans/zacon/2010/7-np/for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2.admhmao.ru/economic/finans/zacon/2010/7-np/for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  <w:hideMark/>
          </w:tcPr>
          <w:p w:rsidR="00D377D5" w:rsidRPr="008E1F94" w:rsidRDefault="00D377D5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 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(10)</w:t>
            </w:r>
          </w:p>
        </w:tc>
      </w:tr>
    </w:tbl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ОЦ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итог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итоговая оценка эффективности и результативности выполнения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услуги;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K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значение расчетного показателя,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- количество расчетных показателей.</w:t>
      </w:r>
    </w:p>
    <w:p w:rsidR="00D464C9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Интерпретация итоговой оценки эффективности и результативности  выполнения государственного задания по каждой государственной услуге осуществля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ется в соответствии с таблицей 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464C9" w:rsidRPr="00D377D5" w:rsidRDefault="00D464C9" w:rsidP="00D46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A66AC2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5</w:t>
      </w:r>
    </w:p>
    <w:tbl>
      <w:tblPr>
        <w:tblW w:w="3500" w:type="pct"/>
        <w:jc w:val="center"/>
        <w:tblCellSpacing w:w="7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9"/>
        <w:gridCol w:w="4642"/>
      </w:tblGrid>
      <w:tr w:rsidR="00D377D5" w:rsidRPr="00D377D5" w:rsidTr="00202C59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464C9" w:rsidRDefault="00D464C9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Pr="00A66AC2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A66AC2" w:rsidRDefault="00D377D5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Приложение к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м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етодике </w:t>
      </w:r>
      <w:r w:rsid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ценки</w:t>
      </w:r>
    </w:p>
    <w:p w:rsidR="00A66AC2" w:rsidRDefault="00D377D5" w:rsidP="00A66AC2">
      <w:pPr>
        <w:spacing w:after="0" w:line="240" w:lineRule="auto"/>
        <w:ind w:firstLine="5103"/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эффективности и</w:t>
      </w:r>
      <w:r w:rsidR="00A66AC2" w:rsidRPr="00A66AC2">
        <w:t xml:space="preserve"> </w:t>
      </w:r>
      <w:r w:rsidR="00A66AC2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результативности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br/>
      </w:r>
      <w:r w:rsid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                                                                             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выполнения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муниципальных</w:t>
      </w:r>
      <w:r w:rsidR="00A66AC2" w:rsidRPr="00A66AC2">
        <w:t xml:space="preserve"> </w:t>
      </w:r>
    </w:p>
    <w:p w:rsidR="00A66AC2" w:rsidRDefault="00A66AC2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заданий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D377D5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 оказание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м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униципальных</w:t>
      </w:r>
    </w:p>
    <w:p w:rsidR="00D377D5" w:rsidRPr="00A66AC2" w:rsidRDefault="00D377D5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услуг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(выполнение работ)</w:t>
      </w:r>
    </w:p>
    <w:p w:rsidR="008E1F94" w:rsidRPr="00D377D5" w:rsidRDefault="008E1F94" w:rsidP="00D464C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66AC2" w:rsidRPr="00A66AC2" w:rsidRDefault="00D377D5" w:rsidP="00D46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Форма</w:t>
      </w:r>
    </w:p>
    <w:p w:rsidR="00D377D5" w:rsidRDefault="00D377D5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предоставления результатов оценки эффективности и результативности</w:t>
      </w: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 xml:space="preserve">выполнения </w:t>
      </w:r>
      <w:r w:rsidR="00D464C9"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муниципальных заданий на оказание муниципальных </w:t>
      </w: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услуг</w:t>
      </w:r>
      <w:r w:rsidR="00D464C9"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(выполнение работ)</w:t>
      </w:r>
      <w:r w:rsidRPr="00A66AC2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</w:t>
      </w:r>
    </w:p>
    <w:p w:rsidR="00D464C9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(н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аименование структурного подразделения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464C9" w:rsidRPr="00D377D5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1"/>
        <w:gridCol w:w="2365"/>
        <w:gridCol w:w="2365"/>
        <w:gridCol w:w="2372"/>
      </w:tblGrid>
      <w:tr w:rsidR="00D377D5" w:rsidRPr="00D377D5" w:rsidTr="00202C5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учреждения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муниципальных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услуг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 (%)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D377D5" w:rsidRPr="00D377D5" w:rsidRDefault="00D377D5" w:rsidP="00D377D5">
      <w:pPr>
        <w:jc w:val="both"/>
        <w:rPr>
          <w:rFonts w:ascii="Times New Roman" w:hAnsi="Times New Roman"/>
          <w:sz w:val="26"/>
          <w:szCs w:val="26"/>
        </w:rPr>
      </w:pPr>
    </w:p>
    <w:p w:rsidR="00460B46" w:rsidRPr="00D377D5" w:rsidRDefault="00460B46" w:rsidP="00D377D5">
      <w:pPr>
        <w:jc w:val="both"/>
        <w:rPr>
          <w:rFonts w:ascii="Times New Roman" w:hAnsi="Times New Roman"/>
          <w:sz w:val="26"/>
          <w:szCs w:val="26"/>
        </w:rPr>
      </w:pPr>
    </w:p>
    <w:p w:rsidR="00D377D5" w:rsidRPr="00D377D5" w:rsidRDefault="00D377D5">
      <w:pPr>
        <w:jc w:val="both"/>
        <w:rPr>
          <w:rFonts w:ascii="Times New Roman" w:hAnsi="Times New Roman"/>
          <w:sz w:val="26"/>
          <w:szCs w:val="26"/>
        </w:rPr>
      </w:pPr>
    </w:p>
    <w:sectPr w:rsidR="00D377D5" w:rsidRPr="00D3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4B8D"/>
    <w:multiLevelType w:val="multilevel"/>
    <w:tmpl w:val="648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D5"/>
    <w:rsid w:val="000E61EA"/>
    <w:rsid w:val="000F3FB6"/>
    <w:rsid w:val="001539D5"/>
    <w:rsid w:val="0022687F"/>
    <w:rsid w:val="00333773"/>
    <w:rsid w:val="00460B46"/>
    <w:rsid w:val="004C39EA"/>
    <w:rsid w:val="005A6847"/>
    <w:rsid w:val="005D0AB2"/>
    <w:rsid w:val="008E1F94"/>
    <w:rsid w:val="00927F79"/>
    <w:rsid w:val="00A66AC2"/>
    <w:rsid w:val="00AB5E5C"/>
    <w:rsid w:val="00B063F4"/>
    <w:rsid w:val="00BD5082"/>
    <w:rsid w:val="00C165C7"/>
    <w:rsid w:val="00D10E47"/>
    <w:rsid w:val="00D11BC0"/>
    <w:rsid w:val="00D377D5"/>
    <w:rsid w:val="00D464C9"/>
    <w:rsid w:val="00E427DD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Ливинец Вера Александровна</dc:creator>
  <cp:lastModifiedBy>Ливинец Вера Александровна</cp:lastModifiedBy>
  <cp:revision>8</cp:revision>
  <cp:lastPrinted>2014-12-15T12:13:00Z</cp:lastPrinted>
  <dcterms:created xsi:type="dcterms:W3CDTF">2014-11-07T03:51:00Z</dcterms:created>
  <dcterms:modified xsi:type="dcterms:W3CDTF">2014-12-15T12:22:00Z</dcterms:modified>
</cp:coreProperties>
</file>